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sz w:val="84"/>
          <w:szCs w:val="84"/>
          <w:u w:val="single"/>
        </w:rPr>
      </w:pPr>
    </w:p>
    <w:p>
      <w:pPr>
        <w:spacing w:line="578" w:lineRule="exact"/>
        <w:ind w:firstLine="1680" w:firstLineChars="200"/>
        <w:rPr>
          <w:sz w:val="84"/>
          <w:szCs w:val="84"/>
          <w:u w:val="single"/>
        </w:rPr>
      </w:pPr>
    </w:p>
    <w:p>
      <w:pPr>
        <w:spacing w:line="578" w:lineRule="exact"/>
        <w:rPr>
          <w:sz w:val="84"/>
          <w:szCs w:val="84"/>
          <w:u w:val="single"/>
        </w:rPr>
      </w:pPr>
    </w:p>
    <w:p>
      <w:pPr>
        <w:spacing w:line="578" w:lineRule="exact"/>
        <w:ind w:firstLine="1680" w:firstLineChars="200"/>
        <w:rPr>
          <w:sz w:val="84"/>
          <w:szCs w:val="84"/>
          <w:u w:val="single"/>
        </w:rPr>
      </w:pPr>
    </w:p>
    <w:p>
      <w:pPr>
        <w:spacing w:line="578" w:lineRule="exact"/>
        <w:ind w:firstLine="1040" w:firstLineChars="200"/>
        <w:jc w:val="center"/>
        <w:rPr>
          <w:rFonts w:ascii="Times New Roman" w:hAnsi="Times New Roman"/>
          <w:sz w:val="52"/>
          <w:szCs w:val="52"/>
        </w:rPr>
      </w:pPr>
    </w:p>
    <w:p>
      <w:pPr>
        <w:spacing w:line="578" w:lineRule="exact"/>
        <w:ind w:firstLine="1040" w:firstLineChars="200"/>
        <w:jc w:val="right"/>
        <w:rPr>
          <w:rFonts w:ascii="Times New Roman" w:hAnsi="Times New Roman"/>
          <w:sz w:val="52"/>
          <w:szCs w:val="52"/>
        </w:rPr>
      </w:pPr>
    </w:p>
    <w:p>
      <w:pPr>
        <w:spacing w:line="578" w:lineRule="exact"/>
        <w:rPr>
          <w:rFonts w:ascii="Times New Roman" w:hAnsi="Times New Roman"/>
          <w:sz w:val="52"/>
          <w:szCs w:val="52"/>
        </w:rPr>
      </w:pPr>
    </w:p>
    <w:p>
      <w:pPr>
        <w:spacing w:line="578" w:lineRule="exact"/>
        <w:ind w:firstLine="1040" w:firstLineChars="200"/>
        <w:jc w:val="center"/>
        <w:rPr>
          <w:rFonts w:ascii="Times New Roman" w:hAnsi="Times New Roman"/>
          <w:sz w:val="52"/>
          <w:szCs w:val="52"/>
        </w:rPr>
      </w:pPr>
    </w:p>
    <w:p>
      <w:pPr>
        <w:spacing w:line="578" w:lineRule="exact"/>
        <w:ind w:firstLine="1040" w:firstLineChars="200"/>
        <w:rPr>
          <w:rFonts w:ascii="Times New Roman" w:hAnsi="Times New Roman"/>
          <w:sz w:val="52"/>
          <w:szCs w:val="52"/>
        </w:rPr>
      </w:pPr>
      <w:r>
        <w:rPr>
          <w:rFonts w:hint="eastAsia" w:ascii="Times New Roman" w:hAnsi="Times New Roman"/>
          <w:sz w:val="52"/>
          <w:szCs w:val="52"/>
        </w:rPr>
        <w:t>2026年中共三亚市委组织部</w:t>
      </w:r>
    </w:p>
    <w:p>
      <w:pPr>
        <w:spacing w:line="578" w:lineRule="exact"/>
        <w:ind w:firstLine="3120" w:firstLineChars="600"/>
        <w:rPr>
          <w:sz w:val="52"/>
          <w:szCs w:val="52"/>
        </w:rPr>
      </w:pPr>
      <w:r>
        <w:rPr>
          <w:rFonts w:hint="eastAsia" w:ascii="Times New Roman" w:hAnsi="Times New Roman"/>
          <w:sz w:val="52"/>
          <w:szCs w:val="52"/>
        </w:rPr>
        <w:t>部门预算</w:t>
      </w:r>
    </w:p>
    <w:p>
      <w:pPr>
        <w:spacing w:line="578" w:lineRule="exact"/>
        <w:ind w:firstLine="1680" w:firstLineChars="200"/>
        <w:rPr>
          <w:sz w:val="84"/>
          <w:szCs w:val="84"/>
        </w:rPr>
      </w:pPr>
    </w:p>
    <w:p>
      <w:pPr>
        <w:pStyle w:val="2"/>
        <w:spacing w:line="578" w:lineRule="exact"/>
        <w:ind w:left="0" w:leftChars="0" w:firstLine="420" w:firstLineChars="200"/>
      </w:pPr>
    </w:p>
    <w:p>
      <w:pPr>
        <w:spacing w:line="578" w:lineRule="exact"/>
        <w:ind w:firstLine="1680" w:firstLineChars="200"/>
        <w:jc w:val="center"/>
        <w:rPr>
          <w:sz w:val="84"/>
          <w:szCs w:val="84"/>
        </w:rPr>
      </w:pPr>
    </w:p>
    <w:p>
      <w:pPr>
        <w:pStyle w:val="2"/>
        <w:spacing w:line="578" w:lineRule="exact"/>
        <w:ind w:left="0" w:leftChars="0" w:firstLine="1680" w:firstLineChars="200"/>
        <w:rPr>
          <w:sz w:val="84"/>
          <w:szCs w:val="84"/>
        </w:rPr>
      </w:pPr>
    </w:p>
    <w:p>
      <w:pPr>
        <w:pStyle w:val="2"/>
        <w:spacing w:line="578" w:lineRule="exact"/>
        <w:ind w:left="0" w:leftChars="0" w:firstLine="1680" w:firstLineChars="200"/>
        <w:rPr>
          <w:sz w:val="84"/>
          <w:szCs w:val="84"/>
        </w:rPr>
      </w:pPr>
    </w:p>
    <w:p>
      <w:pPr>
        <w:pStyle w:val="2"/>
        <w:spacing w:line="578" w:lineRule="exact"/>
        <w:ind w:left="0" w:leftChars="0" w:firstLine="1680" w:firstLineChars="200"/>
        <w:rPr>
          <w:sz w:val="84"/>
          <w:szCs w:val="84"/>
        </w:rPr>
      </w:pPr>
    </w:p>
    <w:p>
      <w:pPr>
        <w:pStyle w:val="2"/>
        <w:spacing w:line="578" w:lineRule="exact"/>
        <w:ind w:left="0" w:leftChars="0" w:firstLine="1680" w:firstLineChars="200"/>
        <w:rPr>
          <w:sz w:val="84"/>
          <w:szCs w:val="84"/>
        </w:rPr>
      </w:pPr>
    </w:p>
    <w:p>
      <w:pPr>
        <w:spacing w:line="578" w:lineRule="exact"/>
        <w:ind w:firstLine="1680" w:firstLineChars="200"/>
        <w:rPr>
          <w:sz w:val="84"/>
          <w:szCs w:val="84"/>
        </w:rPr>
      </w:pPr>
    </w:p>
    <w:p>
      <w:pPr>
        <w:pStyle w:val="2"/>
        <w:spacing w:line="578" w:lineRule="exact"/>
        <w:ind w:left="0" w:leftChars="0" w:firstLine="420" w:firstLineChars="200"/>
      </w:pPr>
    </w:p>
    <w:p>
      <w:pPr>
        <w:pStyle w:val="2"/>
        <w:spacing w:line="578" w:lineRule="exact"/>
        <w:ind w:left="0" w:leftChars="0" w:firstLine="1680" w:firstLineChars="200"/>
        <w:rPr>
          <w:sz w:val="84"/>
          <w:szCs w:val="84"/>
        </w:rPr>
      </w:pPr>
    </w:p>
    <w:p>
      <w:pPr>
        <w:spacing w:line="578" w:lineRule="exact"/>
        <w:jc w:val="center"/>
        <w:rPr>
          <w:rFonts w:ascii="黑体" w:hAnsi="黑体" w:eastAsia="黑体"/>
          <w:sz w:val="52"/>
          <w:szCs w:val="52"/>
        </w:rPr>
      </w:pPr>
      <w:r>
        <w:rPr>
          <w:rFonts w:hint="eastAsia" w:ascii="黑体" w:hAnsi="黑体" w:eastAsia="黑体"/>
          <w:sz w:val="52"/>
          <w:szCs w:val="52"/>
        </w:rPr>
        <w:t>目录</w:t>
      </w:r>
    </w:p>
    <w:p>
      <w:pPr>
        <w:pStyle w:val="2"/>
        <w:spacing w:line="578" w:lineRule="exact"/>
        <w:ind w:left="420"/>
      </w:pPr>
    </w:p>
    <w:p>
      <w:pPr>
        <w:pStyle w:val="8"/>
        <w:spacing w:line="578" w:lineRule="exact"/>
        <w:ind w:firstLine="320" w:firstLineChars="100"/>
        <w:rPr>
          <w:rFonts w:ascii="黑体" w:hAnsi="黑体" w:eastAsia="黑体"/>
          <w:sz w:val="32"/>
          <w:szCs w:val="32"/>
        </w:rPr>
      </w:pPr>
      <w:r>
        <w:rPr>
          <w:rFonts w:hint="eastAsia" w:ascii="黑体" w:hAnsi="黑体" w:eastAsia="黑体"/>
          <w:sz w:val="32"/>
          <w:szCs w:val="32"/>
        </w:rPr>
        <w:t>第一部分  中共三亚市委组织部（部门）概况</w:t>
      </w:r>
    </w:p>
    <w:p>
      <w:pPr>
        <w:pStyle w:val="8"/>
        <w:spacing w:line="578" w:lineRule="exact"/>
        <w:ind w:left="420" w:leftChars="200" w:firstLine="0" w:firstLineChars="0"/>
        <w:rPr>
          <w:rFonts w:ascii="黑体" w:hAnsi="黑体" w:eastAsia="黑体"/>
          <w:sz w:val="32"/>
          <w:szCs w:val="32"/>
        </w:rPr>
      </w:pPr>
      <w:r>
        <w:rPr>
          <w:rFonts w:hint="eastAsia" w:ascii="黑体" w:hAnsi="黑体" w:eastAsia="黑体"/>
          <w:sz w:val="32"/>
          <w:szCs w:val="32"/>
        </w:rPr>
        <w:t>一、主要职能</w:t>
      </w:r>
    </w:p>
    <w:p>
      <w:pPr>
        <w:pStyle w:val="8"/>
        <w:spacing w:line="578" w:lineRule="exact"/>
        <w:ind w:left="420" w:leftChars="200" w:firstLine="0" w:firstLineChars="0"/>
        <w:rPr>
          <w:rFonts w:ascii="黑体" w:hAnsi="黑体" w:eastAsia="黑体"/>
          <w:sz w:val="32"/>
          <w:szCs w:val="32"/>
        </w:rPr>
      </w:pPr>
      <w:r>
        <w:rPr>
          <w:rFonts w:hint="eastAsia" w:ascii="黑体" w:hAnsi="黑体" w:eastAsia="黑体"/>
          <w:sz w:val="32"/>
          <w:szCs w:val="32"/>
        </w:rPr>
        <w:t>二、部门预算单位构成</w:t>
      </w:r>
    </w:p>
    <w:p>
      <w:pPr>
        <w:pStyle w:val="8"/>
        <w:spacing w:line="578" w:lineRule="exact"/>
        <w:ind w:firstLine="320" w:firstLineChars="100"/>
        <w:rPr>
          <w:rFonts w:ascii="黑体" w:hAnsi="黑体" w:eastAsia="黑体"/>
          <w:sz w:val="32"/>
          <w:szCs w:val="32"/>
        </w:rPr>
      </w:pPr>
      <w:r>
        <w:rPr>
          <w:rFonts w:hint="eastAsia" w:ascii="黑体" w:hAnsi="黑体" w:eastAsia="黑体"/>
          <w:sz w:val="32"/>
          <w:szCs w:val="32"/>
        </w:rPr>
        <w:t>第二部分  中共三亚市委组织部（部门）预算表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三、一般公共预算基本支出表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六、政府性基金预算“三公”经费支出表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七、部门收支总表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八、部门收入总表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九、部门支出总表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十、项目支出绩效信息表</w:t>
      </w:r>
    </w:p>
    <w:p>
      <w:pPr>
        <w:pStyle w:val="8"/>
        <w:spacing w:line="578" w:lineRule="exact"/>
        <w:ind w:left="420" w:leftChars="200" w:firstLine="0" w:firstLineChars="0"/>
        <w:jc w:val="left"/>
        <w:rPr>
          <w:rFonts w:ascii="仿宋_GB2312" w:hAnsi="仿宋_GB2312" w:eastAsia="仿宋_GB2312" w:cs="仿宋_GB2312"/>
          <w:sz w:val="32"/>
          <w:szCs w:val="32"/>
        </w:rPr>
      </w:pPr>
      <w:r>
        <w:rPr>
          <w:rFonts w:hint="eastAsia" w:ascii="黑体" w:hAnsi="黑体" w:eastAsia="黑体"/>
          <w:sz w:val="32"/>
          <w:szCs w:val="32"/>
        </w:rPr>
        <w:t xml:space="preserve">第三部分  中共三亚市委组织部（部门）预算情况说明 </w:t>
      </w:r>
    </w:p>
    <w:p>
      <w:pPr>
        <w:pStyle w:val="8"/>
        <w:spacing w:line="578" w:lineRule="exact"/>
        <w:ind w:left="420" w:leftChars="200" w:firstLine="0" w:firstLineChars="0"/>
        <w:jc w:val="left"/>
        <w:rPr>
          <w:rFonts w:ascii="仿宋_GB2312" w:hAnsi="仿宋_GB2312" w:eastAsia="仿宋_GB2312" w:cs="仿宋_GB2312"/>
          <w:sz w:val="32"/>
          <w:szCs w:val="32"/>
        </w:rPr>
      </w:pPr>
      <w:r>
        <w:rPr>
          <w:rFonts w:hint="eastAsia" w:ascii="黑体" w:hAnsi="黑体" w:eastAsia="黑体"/>
          <w:sz w:val="32"/>
          <w:szCs w:val="32"/>
        </w:rPr>
        <w:t>第四部分  名词解释</w:t>
      </w:r>
    </w:p>
    <w:p>
      <w:pPr>
        <w:pStyle w:val="8"/>
        <w:spacing w:line="578" w:lineRule="exact"/>
        <w:ind w:firstLine="640"/>
        <w:jc w:val="left"/>
        <w:rPr>
          <w:rFonts w:ascii="黑体" w:hAnsi="黑体" w:eastAsia="黑体"/>
          <w:sz w:val="32"/>
          <w:szCs w:val="32"/>
        </w:rPr>
      </w:pPr>
    </w:p>
    <w:p>
      <w:pPr>
        <w:spacing w:line="578" w:lineRule="exact"/>
        <w:ind w:firstLine="640" w:firstLineChars="200"/>
        <w:jc w:val="left"/>
        <w:rPr>
          <w:rFonts w:ascii="黑体" w:hAnsi="黑体" w:eastAsia="黑体"/>
          <w:sz w:val="32"/>
          <w:szCs w:val="32"/>
        </w:rPr>
      </w:pPr>
    </w:p>
    <w:p>
      <w:pPr>
        <w:pStyle w:val="2"/>
        <w:spacing w:line="578" w:lineRule="exact"/>
        <w:ind w:left="420"/>
      </w:pPr>
    </w:p>
    <w:p>
      <w:pPr>
        <w:pStyle w:val="8"/>
        <w:spacing w:line="578" w:lineRule="exact"/>
        <w:ind w:firstLine="640"/>
        <w:rPr>
          <w:rFonts w:ascii="仿宋_GB2312" w:hAnsi="仿宋_GB2312" w:eastAsia="仿宋_GB2312" w:cs="仿宋_GB2312"/>
          <w:sz w:val="32"/>
          <w:szCs w:val="32"/>
        </w:rPr>
      </w:pPr>
      <w:r>
        <w:rPr>
          <w:rFonts w:hint="eastAsia" w:ascii="黑体" w:hAnsi="黑体" w:eastAsia="黑体"/>
          <w:sz w:val="32"/>
          <w:szCs w:val="32"/>
        </w:rPr>
        <w:t>第一部分  中共三亚市委组织部（部门）概况</w:t>
      </w:r>
    </w:p>
    <w:p>
      <w:pPr>
        <w:pStyle w:val="8"/>
        <w:spacing w:line="578" w:lineRule="exact"/>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党中央和省委有关组织工作的方针政策、法律法规，研究拟订并组织实施全市组织工作政策规定、规章制度和发展战略，研究推进组织工作改革。研究指导全市各级党组织建设。考察、调配和管理市管干部工作。指导领导班子的思想政治作风建设。组织实施干部教育培训工作，研究制定干部队伍建设规划等。指导全市公务员队伍建设，制定公务员管理有关规定，统一管理公务员录用调配等事务。统筹全市人才发展体制机制改革，指导全市各类人才队伍建设发展和管理工作。统一管理老干部工作，监督和指导做好全市离退休干部服务工作。承担市关心下一代工作委员会办公室日常工作。</w:t>
      </w:r>
    </w:p>
    <w:p>
      <w:pPr>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设置20个科级内设机构（参公管理事业单位）：办公室（信访办公室）、研究室（政策法规室）、组织一科、组织二科、组织三科、干部一科、干部二科、干部三科、干部监督科（举报中心）、干部队伍建设规划办公室、干部教育科、公务员一科、公务员二科、人才一科、人才二科、人才三科、老干部工作一科、老干部工作二科（市关心下一代工作委员会办公室）、党员教育中心、干部信息管理办公室。</w:t>
      </w:r>
    </w:p>
    <w:p>
      <w:pPr>
        <w:spacing w:line="578"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本部设置3个部属事业单位：市党群服务中心、市干部事务中心、市人才发展中心。</w:t>
      </w:r>
    </w:p>
    <w:p>
      <w:pPr>
        <w:pStyle w:val="12"/>
        <w:spacing w:line="578" w:lineRule="exact"/>
        <w:ind w:firstLine="640"/>
        <w:jc w:val="left"/>
        <w:rPr>
          <w:rFonts w:ascii="Times New Roman" w:hAnsi="Times New Roman" w:eastAsia="黑体"/>
          <w:sz w:val="32"/>
          <w:szCs w:val="32"/>
        </w:rPr>
      </w:pPr>
      <w:r>
        <w:rPr>
          <w:rFonts w:hint="eastAsia" w:ascii="Times New Roman" w:hAnsi="Times New Roman" w:eastAsia="黑体" w:cs="仿宋_GB2312"/>
          <w:sz w:val="32"/>
          <w:szCs w:val="32"/>
        </w:rPr>
        <w:t>二、部门预算单位构成</w:t>
      </w:r>
    </w:p>
    <w:p>
      <w:pPr>
        <w:spacing w:line="578"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纳入中共三亚市委组织部（部门）2026年部门预算编制范围的二级预算单位包括：</w:t>
      </w:r>
    </w:p>
    <w:p>
      <w:pPr>
        <w:pStyle w:val="12"/>
        <w:spacing w:line="578" w:lineRule="exact"/>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Times New Roman" w:hAnsi="Times New Roman" w:eastAsia="黑体"/>
          <w:sz w:val="32"/>
          <w:szCs w:val="32"/>
        </w:rPr>
        <w:t>中共三亚市委组织部</w:t>
      </w:r>
      <w:r>
        <w:rPr>
          <w:rFonts w:hint="eastAsia" w:ascii="Times New Roman" w:hAnsi="Times New Roman" w:eastAsia="仿宋_GB2312" w:cs="仿宋_GB2312"/>
          <w:sz w:val="32"/>
          <w:szCs w:val="32"/>
        </w:rPr>
        <w:t>2026</w:t>
      </w:r>
      <w:r>
        <w:rPr>
          <w:rFonts w:hint="eastAsia" w:ascii="Times New Roman" w:hAnsi="Times New Roman" w:eastAsia="黑体"/>
          <w:sz w:val="32"/>
          <w:szCs w:val="32"/>
        </w:rPr>
        <w:t>年部门预算表</w:t>
      </w:r>
    </w:p>
    <w:p>
      <w:pPr>
        <w:spacing w:line="578" w:lineRule="exact"/>
        <w:ind w:firstLine="643" w:firstLineChars="2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spacing w:line="578" w:lineRule="exact"/>
        <w:ind w:firstLine="640" w:firstLineChars="200"/>
        <w:rPr>
          <w:rFonts w:ascii="黑体" w:hAnsi="黑体" w:eastAsia="黑体"/>
          <w:sz w:val="32"/>
          <w:szCs w:val="32"/>
        </w:rPr>
      </w:pPr>
    </w:p>
    <w:p>
      <w:pPr>
        <w:spacing w:line="578" w:lineRule="exact"/>
        <w:ind w:firstLine="640" w:firstLineChars="200"/>
        <w:rPr>
          <w:rFonts w:ascii="黑体" w:hAnsi="黑体" w:eastAsia="黑体"/>
          <w:sz w:val="32"/>
          <w:szCs w:val="32"/>
        </w:rPr>
      </w:pPr>
      <w:r>
        <w:rPr>
          <w:rFonts w:hint="eastAsia" w:ascii="黑体" w:hAnsi="黑体" w:eastAsia="黑体"/>
          <w:sz w:val="32"/>
          <w:szCs w:val="32"/>
        </w:rPr>
        <w:t xml:space="preserve">第三部分  </w:t>
      </w:r>
      <w:r>
        <w:rPr>
          <w:rFonts w:hint="eastAsia" w:ascii="Times New Roman" w:hAnsi="Times New Roman" w:eastAsia="黑体"/>
          <w:sz w:val="32"/>
          <w:szCs w:val="32"/>
        </w:rPr>
        <w:t>中共三亚市委组织部（</w:t>
      </w:r>
      <w:r>
        <w:rPr>
          <w:rFonts w:hint="eastAsia" w:ascii="黑体" w:hAnsi="黑体" w:eastAsia="黑体"/>
          <w:sz w:val="32"/>
          <w:szCs w:val="32"/>
        </w:rPr>
        <w:t>部门）</w:t>
      </w:r>
      <w:r>
        <w:rPr>
          <w:rFonts w:hint="eastAsia" w:ascii="Times New Roman" w:hAnsi="Times New Roman" w:eastAsia="仿宋_GB2312" w:cs="仿宋_GB2312"/>
          <w:sz w:val="32"/>
          <w:szCs w:val="32"/>
        </w:rPr>
        <w:t>2026</w:t>
      </w:r>
      <w:r>
        <w:rPr>
          <w:rFonts w:hint="eastAsia" w:ascii="Times New Roman" w:hAnsi="Times New Roman" w:eastAsia="黑体"/>
          <w:sz w:val="32"/>
          <w:szCs w:val="32"/>
        </w:rPr>
        <w:t>年</w:t>
      </w:r>
      <w:r>
        <w:rPr>
          <w:rFonts w:hint="eastAsia" w:ascii="黑体" w:hAnsi="黑体" w:eastAsia="黑体"/>
          <w:sz w:val="32"/>
          <w:szCs w:val="32"/>
        </w:rPr>
        <w:t>预算情况说明</w:t>
      </w:r>
    </w:p>
    <w:p>
      <w:pPr>
        <w:spacing w:line="578"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一、关于中共三亚市委组织部（</w:t>
      </w:r>
      <w:r>
        <w:rPr>
          <w:rFonts w:hint="eastAsia" w:ascii="黑体" w:hAnsi="黑体" w:eastAsia="黑体"/>
          <w:sz w:val="32"/>
          <w:szCs w:val="32"/>
        </w:rPr>
        <w:t>部门）</w:t>
      </w:r>
      <w:r>
        <w:rPr>
          <w:rFonts w:hint="eastAsia" w:ascii="Times New Roman" w:hAnsi="Times New Roman" w:eastAsia="仿宋_GB2312" w:cs="仿宋_GB2312"/>
          <w:sz w:val="32"/>
          <w:szCs w:val="32"/>
        </w:rPr>
        <w:t>2026</w:t>
      </w:r>
      <w:r>
        <w:rPr>
          <w:rFonts w:hint="eastAsia" w:ascii="Times New Roman" w:hAnsi="Times New Roman" w:eastAsia="黑体"/>
          <w:sz w:val="32"/>
          <w:szCs w:val="32"/>
        </w:rPr>
        <w:t>年财政拨款收支预算情况的总体说明</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中共三亚市委组织部（部门）</w:t>
      </w:r>
      <w:r>
        <w:rPr>
          <w:rFonts w:hint="eastAsia" w:ascii="Times New Roman" w:hAnsi="Times New Roman" w:eastAsia="仿宋_GB2312" w:cs="仿宋_GB2312"/>
          <w:sz w:val="32"/>
          <w:szCs w:val="32"/>
        </w:rPr>
        <w:t>2026</w:t>
      </w:r>
      <w:r>
        <w:rPr>
          <w:rFonts w:hint="eastAsia" w:ascii="Times New Roman" w:hAnsi="Times New Roman" w:eastAsia="仿宋_GB2312"/>
          <w:sz w:val="32"/>
          <w:szCs w:val="32"/>
        </w:rPr>
        <w:t>年财政拨款收支总预算</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万元。其中，收入总计</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万元，包括一般公共预算本年收入</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万元，政府性基金预算本年收入</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万元；支出总计</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万元，包括一般公共服务支出</w:t>
      </w:r>
      <w:r>
        <w:rPr>
          <w:rFonts w:ascii="Times New Roman" w:hAnsi="Times New Roman" w:eastAsia="仿宋_GB2312" w:cs="仿宋_GB2312"/>
          <w:sz w:val="32"/>
          <w:szCs w:val="32"/>
        </w:rPr>
        <w:t>3433.39</w:t>
      </w:r>
      <w:r>
        <w:rPr>
          <w:rFonts w:hint="eastAsia" w:ascii="Times New Roman" w:hAnsi="Times New Roman" w:eastAsia="仿宋_GB2312"/>
          <w:sz w:val="32"/>
          <w:szCs w:val="32"/>
        </w:rPr>
        <w:t>万元、教育支出</w:t>
      </w:r>
      <w:r>
        <w:rPr>
          <w:rFonts w:ascii="Times New Roman" w:hAnsi="Times New Roman" w:eastAsia="仿宋_GB2312"/>
          <w:sz w:val="32"/>
          <w:szCs w:val="32"/>
        </w:rPr>
        <w:t>321</w:t>
      </w:r>
      <w:r>
        <w:rPr>
          <w:rFonts w:hint="eastAsia" w:ascii="Times New Roman" w:hAnsi="Times New Roman" w:eastAsia="仿宋_GB2312"/>
          <w:sz w:val="32"/>
          <w:szCs w:val="32"/>
        </w:rPr>
        <w:t>万元、</w:t>
      </w:r>
      <w:r>
        <w:rPr>
          <w:rFonts w:hint="eastAsia" w:ascii="Times New Roman" w:hAnsi="Times New Roman" w:eastAsia="仿宋_GB2312" w:cs="仿宋_GB2312"/>
          <w:sz w:val="32"/>
          <w:szCs w:val="32"/>
        </w:rPr>
        <w:t>社会保障和就业支出</w:t>
      </w:r>
      <w:r>
        <w:rPr>
          <w:rFonts w:ascii="Times New Roman" w:hAnsi="Times New Roman" w:eastAsia="仿宋_GB2312" w:cs="仿宋_GB2312"/>
          <w:sz w:val="32"/>
          <w:szCs w:val="32"/>
        </w:rPr>
        <w:t>318.74</w:t>
      </w:r>
      <w:r>
        <w:rPr>
          <w:rFonts w:hint="eastAsia" w:ascii="Times New Roman" w:hAnsi="Times New Roman" w:eastAsia="仿宋_GB2312"/>
          <w:sz w:val="32"/>
          <w:szCs w:val="32"/>
        </w:rPr>
        <w:t>万元、卫生健康支出</w:t>
      </w:r>
      <w:r>
        <w:rPr>
          <w:rFonts w:ascii="Times New Roman" w:hAnsi="Times New Roman" w:eastAsia="仿宋_GB2312"/>
          <w:sz w:val="32"/>
          <w:szCs w:val="32"/>
        </w:rPr>
        <w:t>298.70</w:t>
      </w:r>
      <w:r>
        <w:rPr>
          <w:rFonts w:hint="eastAsia" w:ascii="Times New Roman" w:hAnsi="Times New Roman" w:eastAsia="仿宋_GB2312"/>
          <w:sz w:val="32"/>
          <w:szCs w:val="32"/>
        </w:rPr>
        <w:t>万元、住房保障支出</w:t>
      </w:r>
      <w:r>
        <w:rPr>
          <w:rFonts w:ascii="Times New Roman" w:hAnsi="Times New Roman" w:eastAsia="仿宋_GB2312"/>
          <w:sz w:val="32"/>
          <w:szCs w:val="32"/>
        </w:rPr>
        <w:t>169.93</w:t>
      </w:r>
      <w:r>
        <w:rPr>
          <w:rFonts w:hint="eastAsia" w:ascii="Times New Roman" w:hAnsi="Times New Roman" w:eastAsia="仿宋_GB2312"/>
          <w:sz w:val="32"/>
          <w:szCs w:val="32"/>
        </w:rPr>
        <w:t>万元，结转下年</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p>
    <w:p>
      <w:pPr>
        <w:spacing w:line="578" w:lineRule="exact"/>
        <w:ind w:firstLine="640" w:firstLineChars="200"/>
        <w:jc w:val="left"/>
        <w:rPr>
          <w:rFonts w:ascii="黑体" w:hAnsi="黑体" w:eastAsia="黑体"/>
          <w:sz w:val="32"/>
          <w:szCs w:val="32"/>
        </w:rPr>
      </w:pPr>
      <w:r>
        <w:rPr>
          <w:rFonts w:hint="eastAsia" w:ascii="黑体" w:hAnsi="黑体" w:eastAsia="黑体"/>
          <w:sz w:val="32"/>
          <w:szCs w:val="32"/>
        </w:rPr>
        <w:t>二、关于中共三亚市委组织部（部门）</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黑体" w:hAnsi="黑体" w:eastAsia="黑体"/>
          <w:sz w:val="32"/>
          <w:szCs w:val="32"/>
        </w:rPr>
        <w:t>年一般公共预算当年拨款情况说明</w:t>
      </w:r>
    </w:p>
    <w:p>
      <w:pPr>
        <w:spacing w:line="578" w:lineRule="exact"/>
        <w:ind w:firstLine="640" w:firstLineChars="200"/>
        <w:rPr>
          <w:rFonts w:ascii="仿宋_GB2312" w:hAnsi="黑体" w:eastAsia="仿宋_GB2312"/>
          <w:sz w:val="32"/>
          <w:szCs w:val="32"/>
        </w:rPr>
      </w:pPr>
      <w:r>
        <w:rPr>
          <w:rFonts w:hint="eastAsia" w:ascii="仿宋_GB2312" w:hAnsi="黑体" w:eastAsia="仿宋_GB2312"/>
          <w:sz w:val="32"/>
          <w:szCs w:val="32"/>
        </w:rPr>
        <w:t>（一）一般公共预算当年规模变化情况</w:t>
      </w:r>
    </w:p>
    <w:p>
      <w:pPr>
        <w:spacing w:line="578" w:lineRule="exact"/>
        <w:ind w:firstLine="640" w:firstLineChars="200"/>
        <w:rPr>
          <w:rFonts w:ascii="仿宋_GB2312" w:hAnsi="黑体" w:eastAsia="仿宋_GB2312"/>
          <w:sz w:val="32"/>
          <w:szCs w:val="32"/>
        </w:rPr>
      </w:pPr>
      <w:r>
        <w:rPr>
          <w:rFonts w:hint="eastAsia" w:ascii="仿宋_GB2312" w:hAnsi="黑体" w:eastAsia="仿宋_GB2312"/>
          <w:sz w:val="32"/>
          <w:szCs w:val="32"/>
        </w:rPr>
        <w:t>中共三亚市委组织部（部门）</w:t>
      </w:r>
      <w:r>
        <w:rPr>
          <w:rFonts w:hint="eastAsia" w:ascii="Times New Roman" w:hAnsi="Times New Roman" w:eastAsia="仿宋_GB2312" w:cs="仿宋_GB2312"/>
          <w:sz w:val="32"/>
          <w:szCs w:val="32"/>
        </w:rPr>
        <w:t>2026</w:t>
      </w:r>
      <w:r>
        <w:rPr>
          <w:rFonts w:hint="eastAsia" w:ascii="仿宋_GB2312" w:hAnsi="黑体" w:eastAsia="仿宋_GB2312"/>
          <w:sz w:val="32"/>
          <w:szCs w:val="32"/>
        </w:rPr>
        <w:t>年一般公共预算当年拨款</w:t>
      </w:r>
      <w:r>
        <w:rPr>
          <w:rFonts w:ascii="Times New Roman" w:hAnsi="Times New Roman" w:eastAsia="仿宋_GB2312" w:cs="仿宋_GB2312"/>
          <w:sz w:val="32"/>
          <w:szCs w:val="32"/>
        </w:rPr>
        <w:t>4541.76</w:t>
      </w:r>
      <w:r>
        <w:rPr>
          <w:rFonts w:hint="eastAsia" w:ascii="仿宋_GB2312" w:hAnsi="黑体" w:eastAsia="仿宋_GB2312"/>
          <w:sz w:val="32"/>
          <w:szCs w:val="32"/>
        </w:rPr>
        <w:t>万元，比上年预算数增加</w:t>
      </w:r>
      <w:r>
        <w:rPr>
          <w:rFonts w:ascii="Times New Roman" w:hAnsi="Times New Roman" w:eastAsia="仿宋_GB2312" w:cs="仿宋_GB2312"/>
          <w:sz w:val="32"/>
          <w:szCs w:val="32"/>
        </w:rPr>
        <w:t>238.57</w:t>
      </w:r>
      <w:r>
        <w:rPr>
          <w:rFonts w:hint="eastAsia" w:ascii="仿宋_GB2312" w:hAnsi="黑体" w:eastAsia="仿宋_GB2312"/>
          <w:sz w:val="32"/>
          <w:szCs w:val="32"/>
        </w:rPr>
        <w:t>万元，主要原因是</w:t>
      </w:r>
      <w:r>
        <w:rPr>
          <w:rFonts w:hint="eastAsia" w:ascii="仿宋_GB2312" w:hAnsi="黑体" w:eastAsia="仿宋_GB2312"/>
          <w:sz w:val="32"/>
          <w:szCs w:val="32"/>
          <w:lang w:val="en-US" w:eastAsia="zh-CN"/>
        </w:rPr>
        <w:t>2025年末调入</w:t>
      </w:r>
      <w:r>
        <w:rPr>
          <w:rFonts w:hint="eastAsia" w:ascii="仿宋_GB2312" w:hAnsi="黑体" w:eastAsia="仿宋_GB2312"/>
          <w:sz w:val="32"/>
          <w:szCs w:val="32"/>
          <w:lang w:eastAsia="zh-CN"/>
        </w:rPr>
        <w:t>人员</w:t>
      </w:r>
      <w:r>
        <w:rPr>
          <w:rFonts w:hint="eastAsia" w:ascii="仿宋_GB2312" w:hAnsi="黑体" w:eastAsia="仿宋_GB2312"/>
          <w:sz w:val="32"/>
          <w:szCs w:val="32"/>
          <w:lang w:val="en-US" w:eastAsia="zh-CN"/>
        </w:rPr>
        <w:t>4名，人员</w:t>
      </w:r>
      <w:r>
        <w:rPr>
          <w:rFonts w:hint="eastAsia" w:ascii="仿宋_GB2312" w:hAnsi="黑体" w:eastAsia="仿宋_GB2312"/>
          <w:sz w:val="32"/>
          <w:szCs w:val="32"/>
          <w:lang w:eastAsia="zh-CN"/>
        </w:rPr>
        <w:t>经费</w:t>
      </w:r>
      <w:r>
        <w:rPr>
          <w:rFonts w:hint="eastAsia" w:ascii="仿宋_GB2312" w:hAnsi="仿宋_GB2312" w:eastAsia="仿宋_GB2312" w:cs="仿宋_GB2312"/>
          <w:sz w:val="32"/>
          <w:szCs w:val="32"/>
          <w:highlight w:val="none"/>
          <w:lang w:eastAsia="zh-CN"/>
        </w:rPr>
        <w:t>增加</w:t>
      </w:r>
      <w:r>
        <w:rPr>
          <w:rFonts w:hint="eastAsia" w:ascii="仿宋_GB2312" w:hAnsi="黑体" w:eastAsia="仿宋_GB2312"/>
          <w:sz w:val="32"/>
          <w:szCs w:val="32"/>
          <w:highlight w:val="none"/>
        </w:rPr>
        <w:t>。</w:t>
      </w:r>
    </w:p>
    <w:p>
      <w:pPr>
        <w:spacing w:line="578" w:lineRule="exact"/>
        <w:ind w:firstLine="640" w:firstLineChars="200"/>
        <w:rPr>
          <w:rFonts w:ascii="仿宋_GB2312" w:hAnsi="黑体" w:eastAsia="仿宋_GB2312"/>
          <w:sz w:val="32"/>
          <w:szCs w:val="32"/>
        </w:rPr>
      </w:pPr>
      <w:r>
        <w:rPr>
          <w:rFonts w:hint="eastAsia" w:ascii="仿宋_GB2312" w:hAnsi="黑体" w:eastAsia="仿宋_GB2312"/>
          <w:sz w:val="32"/>
          <w:szCs w:val="32"/>
        </w:rPr>
        <w:t>（二）一般公共预算当年拨款结构情况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一般公共服务（类）支出</w:t>
      </w:r>
      <w:r>
        <w:rPr>
          <w:rFonts w:ascii="Times New Roman" w:hAnsi="Times New Roman" w:eastAsia="仿宋_GB2312" w:cs="仿宋_GB2312"/>
          <w:sz w:val="32"/>
          <w:szCs w:val="32"/>
        </w:rPr>
        <w:t>3433.39</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75.60</w:t>
      </w:r>
      <w:r>
        <w:rPr>
          <w:rFonts w:hint="eastAsia" w:ascii="Times New Roman" w:hAnsi="Times New Roman" w:eastAsia="仿宋_GB2312" w:cs="仿宋_GB2312"/>
          <w:sz w:val="32"/>
          <w:szCs w:val="32"/>
        </w:rPr>
        <w:t>%；教育支出（类）321万元，占</w:t>
      </w:r>
      <w:r>
        <w:rPr>
          <w:rFonts w:ascii="Times New Roman" w:hAnsi="Times New Roman" w:eastAsia="仿宋_GB2312" w:cs="仿宋_GB2312"/>
          <w:sz w:val="32"/>
          <w:szCs w:val="32"/>
        </w:rPr>
        <w:t>7.07</w:t>
      </w:r>
      <w:r>
        <w:rPr>
          <w:rFonts w:hint="eastAsia" w:ascii="Times New Roman" w:hAnsi="Times New Roman" w:eastAsia="仿宋_GB2312" w:cs="仿宋_GB2312"/>
          <w:sz w:val="32"/>
          <w:szCs w:val="32"/>
        </w:rPr>
        <w:t>%；社会保障和就业（类）支出</w:t>
      </w:r>
      <w:r>
        <w:rPr>
          <w:rFonts w:ascii="Times New Roman" w:hAnsi="Times New Roman" w:eastAsia="仿宋_GB2312" w:cs="仿宋_GB2312"/>
          <w:sz w:val="32"/>
          <w:szCs w:val="32"/>
        </w:rPr>
        <w:t>318.74</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7.0</w:t>
      </w:r>
      <w:r>
        <w:rPr>
          <w:rFonts w:hint="eastAsia" w:ascii="Times New Roman" w:hAnsi="Times New Roman" w:eastAsia="仿宋_GB2312" w:cs="仿宋_GB2312"/>
          <w:sz w:val="32"/>
          <w:szCs w:val="32"/>
        </w:rPr>
        <w:t>2%；卫生健康（类）支出</w:t>
      </w:r>
      <w:r>
        <w:rPr>
          <w:rFonts w:ascii="Times New Roman" w:hAnsi="Times New Roman" w:eastAsia="仿宋_GB2312" w:cs="仿宋_GB2312"/>
          <w:sz w:val="32"/>
          <w:szCs w:val="32"/>
        </w:rPr>
        <w:t>298.70</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6.58</w:t>
      </w:r>
      <w:r>
        <w:rPr>
          <w:rFonts w:hint="eastAsia" w:ascii="Times New Roman" w:hAnsi="Times New Roman" w:eastAsia="仿宋_GB2312" w:cs="仿宋_GB2312"/>
          <w:sz w:val="32"/>
          <w:szCs w:val="32"/>
        </w:rPr>
        <w:t>%；住房保障（类）支出</w:t>
      </w:r>
      <w:r>
        <w:rPr>
          <w:rFonts w:ascii="Times New Roman" w:hAnsi="Times New Roman" w:eastAsia="仿宋_GB2312" w:cs="仿宋_GB2312"/>
          <w:sz w:val="32"/>
          <w:szCs w:val="32"/>
        </w:rPr>
        <w:t>169.93</w:t>
      </w:r>
      <w:r>
        <w:rPr>
          <w:rFonts w:hint="eastAsia" w:ascii="Times New Roman" w:hAnsi="Times New Roman" w:eastAsia="仿宋_GB2312" w:cs="仿宋_GB2312"/>
          <w:sz w:val="32"/>
          <w:szCs w:val="32"/>
        </w:rPr>
        <w:t>万元，占3.74%。</w:t>
      </w:r>
    </w:p>
    <w:p>
      <w:pPr>
        <w:spacing w:line="578" w:lineRule="exact"/>
        <w:ind w:firstLine="640" w:firstLineChars="200"/>
        <w:rPr>
          <w:rFonts w:ascii="Times New Roman" w:hAnsi="Times New Roman" w:eastAsia="仿宋_GB2312" w:cs="仿宋_GB2312"/>
          <w:sz w:val="32"/>
          <w:szCs w:val="32"/>
        </w:rPr>
      </w:pPr>
      <w:r>
        <w:rPr>
          <w:rFonts w:hint="eastAsia" w:ascii="仿宋_GB2312" w:hAnsi="黑体" w:eastAsia="仿宋_GB2312"/>
          <w:sz w:val="32"/>
          <w:szCs w:val="32"/>
        </w:rPr>
        <w:t>（三）</w:t>
      </w:r>
      <w:r>
        <w:rPr>
          <w:rFonts w:hint="eastAsia" w:ascii="Times New Roman" w:hAnsi="Times New Roman" w:eastAsia="仿宋_GB2312" w:cs="仿宋_GB2312"/>
          <w:sz w:val="32"/>
          <w:szCs w:val="32"/>
        </w:rPr>
        <w:t>一般公共预算当年拨款具体使用情况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1.一般公共服务（类）组织事务（款）行政运行（项）2026年预算数为</w:t>
      </w:r>
      <w:r>
        <w:rPr>
          <w:rFonts w:ascii="Times New Roman" w:hAnsi="Times New Roman" w:eastAsia="仿宋_GB2312" w:cs="仿宋_GB2312"/>
          <w:sz w:val="32"/>
          <w:szCs w:val="32"/>
        </w:rPr>
        <w:t>1615.05</w:t>
      </w:r>
      <w:r>
        <w:rPr>
          <w:rFonts w:hint="eastAsia" w:ascii="Times New Roman" w:hAnsi="Times New Roman" w:eastAsia="仿宋_GB2312" w:cs="仿宋_GB2312"/>
          <w:sz w:val="32"/>
          <w:szCs w:val="32"/>
        </w:rPr>
        <w:t>万元，比上年预算数增加</w:t>
      </w:r>
      <w:r>
        <w:rPr>
          <w:rFonts w:ascii="Times New Roman" w:hAnsi="Times New Roman" w:eastAsia="仿宋_GB2312" w:cs="仿宋_GB2312"/>
          <w:sz w:val="32"/>
          <w:szCs w:val="32"/>
        </w:rPr>
        <w:t>180.31</w:t>
      </w:r>
      <w:r>
        <w:rPr>
          <w:rFonts w:hint="eastAsia" w:ascii="Times New Roman" w:hAnsi="Times New Roman" w:eastAsia="仿宋_GB2312" w:cs="仿宋_GB2312"/>
          <w:sz w:val="32"/>
          <w:szCs w:val="32"/>
        </w:rPr>
        <w:t>万元，</w:t>
      </w:r>
      <w:r>
        <w:rPr>
          <w:rFonts w:hint="eastAsia" w:ascii="仿宋_GB2312" w:hAnsi="黑体" w:eastAsia="仿宋_GB2312"/>
          <w:sz w:val="32"/>
          <w:szCs w:val="32"/>
        </w:rPr>
        <w:t>主要原因是</w:t>
      </w:r>
      <w:r>
        <w:rPr>
          <w:rFonts w:hint="eastAsia" w:ascii="仿宋_GB2312" w:hAnsi="黑体" w:eastAsia="仿宋_GB2312"/>
          <w:sz w:val="32"/>
          <w:szCs w:val="32"/>
          <w:highlight w:val="none"/>
          <w:lang w:eastAsia="zh-CN"/>
        </w:rPr>
        <w:t>人员经费、日常公用经费</w:t>
      </w:r>
      <w:r>
        <w:rPr>
          <w:rFonts w:hint="eastAsia" w:ascii="仿宋_GB2312" w:hAnsi="黑体" w:eastAsia="仿宋_GB2312"/>
          <w:sz w:val="32"/>
          <w:szCs w:val="32"/>
          <w:highlight w:val="none"/>
        </w:rPr>
        <w:t>增加，</w:t>
      </w:r>
      <w:r>
        <w:rPr>
          <w:rFonts w:hint="eastAsia" w:ascii="Times New Roman" w:hAnsi="Times New Roman" w:eastAsia="仿宋_GB2312" w:cs="仿宋_GB2312"/>
          <w:sz w:val="32"/>
          <w:szCs w:val="32"/>
          <w:highlight w:val="none"/>
        </w:rPr>
        <w:t>导致预算相应增加</w:t>
      </w:r>
      <w:r>
        <w:rPr>
          <w:rFonts w:hint="eastAsia" w:ascii="仿宋_GB2312" w:hAnsi="黑体" w:eastAsia="仿宋_GB2312"/>
          <w:sz w:val="32"/>
          <w:szCs w:val="32"/>
          <w:highlight w:val="none"/>
        </w:rPr>
        <w:t>。</w:t>
      </w:r>
    </w:p>
    <w:p>
      <w:pPr>
        <w:spacing w:line="578" w:lineRule="exact"/>
        <w:ind w:firstLine="640" w:firstLineChars="200"/>
        <w:rPr>
          <w:rFonts w:hint="eastAsia" w:ascii="仿宋_GB2312" w:hAnsi="黑体" w:eastAsia="仿宋_GB2312"/>
          <w:sz w:val="32"/>
          <w:szCs w:val="32"/>
        </w:rPr>
      </w:pPr>
      <w:r>
        <w:rPr>
          <w:rFonts w:hint="eastAsia" w:ascii="Times New Roman" w:hAnsi="Times New Roman" w:eastAsia="仿宋_GB2312" w:cs="仿宋_GB2312"/>
          <w:sz w:val="32"/>
          <w:szCs w:val="32"/>
        </w:rPr>
        <w:t>2.一般公共服务（类）组织事务（款）一般行政管理事务（项）2026年预算数为</w:t>
      </w:r>
      <w:r>
        <w:rPr>
          <w:rFonts w:ascii="Times New Roman" w:hAnsi="Times New Roman" w:eastAsia="仿宋_GB2312" w:cs="仿宋_GB2312"/>
          <w:sz w:val="32"/>
          <w:szCs w:val="32"/>
        </w:rPr>
        <w:t>1681.10</w:t>
      </w:r>
      <w:r>
        <w:rPr>
          <w:rFonts w:hint="eastAsia" w:ascii="Times New Roman" w:hAnsi="Times New Roman" w:eastAsia="仿宋_GB2312" w:cs="仿宋_GB2312"/>
          <w:sz w:val="32"/>
          <w:szCs w:val="32"/>
        </w:rPr>
        <w:t>万元，比上年预算数增加</w:t>
      </w:r>
      <w:r>
        <w:rPr>
          <w:rFonts w:ascii="Times New Roman" w:hAnsi="Times New Roman" w:eastAsia="仿宋_GB2312" w:cs="仿宋_GB2312"/>
          <w:sz w:val="32"/>
          <w:szCs w:val="32"/>
        </w:rPr>
        <w:t>198.72</w:t>
      </w:r>
      <w:r>
        <w:rPr>
          <w:rFonts w:hint="eastAsia" w:ascii="Times New Roman" w:hAnsi="Times New Roman" w:eastAsia="仿宋_GB2312" w:cs="仿宋_GB2312"/>
          <w:sz w:val="32"/>
          <w:szCs w:val="32"/>
        </w:rPr>
        <w:t>万元，</w:t>
      </w:r>
      <w:r>
        <w:rPr>
          <w:rFonts w:hint="eastAsia" w:ascii="仿宋_GB2312" w:hAnsi="黑体" w:eastAsia="仿宋_GB2312"/>
          <w:sz w:val="32"/>
          <w:szCs w:val="32"/>
        </w:rPr>
        <w:t>主要原因是后勤保障项目</w:t>
      </w:r>
      <w:r>
        <w:rPr>
          <w:rFonts w:hint="eastAsia" w:ascii="仿宋_GB2312" w:hAnsi="黑体" w:eastAsia="仿宋_GB2312"/>
          <w:sz w:val="32"/>
          <w:szCs w:val="32"/>
          <w:lang w:eastAsia="zh-CN"/>
        </w:rPr>
        <w:t>经费</w:t>
      </w:r>
      <w:r>
        <w:rPr>
          <w:rFonts w:hint="eastAsia" w:ascii="仿宋_GB2312" w:hAnsi="黑体" w:eastAsia="仿宋_GB2312"/>
          <w:sz w:val="32"/>
          <w:szCs w:val="32"/>
        </w:rPr>
        <w:t>进行统筹合并管理</w:t>
      </w:r>
      <w:r>
        <w:rPr>
          <w:rFonts w:hint="eastAsia" w:ascii="仿宋_GB2312" w:hAnsi="黑体" w:eastAsia="仿宋_GB2312"/>
          <w:sz w:val="32"/>
          <w:szCs w:val="32"/>
          <w:lang w:eastAsia="zh-CN"/>
        </w:rPr>
        <w:t>，</w:t>
      </w:r>
      <w:r>
        <w:rPr>
          <w:rFonts w:hint="eastAsia" w:ascii="仿宋_GB2312" w:hAnsi="黑体" w:eastAsia="仿宋_GB2312"/>
          <w:sz w:val="32"/>
          <w:szCs w:val="32"/>
        </w:rPr>
        <w:t>由“综合运行事务”项目</w:t>
      </w:r>
      <w:r>
        <w:rPr>
          <w:rFonts w:hint="eastAsia" w:ascii="仿宋_GB2312" w:hAnsi="黑体" w:eastAsia="仿宋_GB2312"/>
          <w:sz w:val="32"/>
          <w:szCs w:val="32"/>
          <w:lang w:eastAsia="zh-CN"/>
        </w:rPr>
        <w:t>中的物业服务费</w:t>
      </w:r>
      <w:r>
        <w:rPr>
          <w:rFonts w:hint="eastAsia" w:ascii="仿宋_GB2312" w:hAnsi="黑体" w:eastAsia="仿宋_GB2312"/>
          <w:sz w:val="32"/>
          <w:szCs w:val="32"/>
        </w:rPr>
        <w:t>转至“办公场所运行维护经费”项目</w:t>
      </w:r>
      <w:r>
        <w:rPr>
          <w:rFonts w:hint="eastAsia" w:ascii="仿宋_GB2312" w:hAnsi="黑体" w:eastAsia="仿宋_GB2312"/>
          <w:sz w:val="32"/>
          <w:szCs w:val="32"/>
          <w:lang w:eastAsia="zh-CN"/>
        </w:rPr>
        <w:t>，导致预算相应增加</w:t>
      </w:r>
      <w:r>
        <w:rPr>
          <w:rFonts w:hint="eastAsia" w:ascii="仿宋_GB2312" w:hAnsi="黑体" w:eastAsia="仿宋_GB2312"/>
          <w:sz w:val="32"/>
          <w:szCs w:val="32"/>
        </w:rPr>
        <w:t>。</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3.一般公共服务（类）组织事务（款）公务员事务（项）2026年预算数为83万元，预算数较上年持平。</w:t>
      </w:r>
    </w:p>
    <w:p>
      <w:pPr>
        <w:spacing w:line="578" w:lineRule="exact"/>
        <w:ind w:firstLine="640" w:firstLineChars="200"/>
        <w:rPr>
          <w:rFonts w:hint="eastAsia" w:ascii="仿宋_GB2312" w:hAnsi="黑体" w:eastAsia="仿宋_GB2312"/>
          <w:sz w:val="32"/>
          <w:szCs w:val="32"/>
          <w:lang w:eastAsia="zh-CN"/>
        </w:rPr>
      </w:pPr>
      <w:r>
        <w:rPr>
          <w:rFonts w:hint="eastAsia" w:ascii="Times New Roman" w:hAnsi="Times New Roman" w:eastAsia="仿宋_GB2312" w:cs="仿宋_GB2312"/>
          <w:sz w:val="32"/>
          <w:szCs w:val="32"/>
        </w:rPr>
        <w:t>4.一般公共服务（类）组织事务（款）其他组织事务支出（项）2026年预算数为54.24万元，比上年预算数减少</w:t>
      </w:r>
      <w:r>
        <w:rPr>
          <w:rFonts w:ascii="Times New Roman" w:hAnsi="Times New Roman" w:eastAsia="仿宋_GB2312" w:cs="仿宋_GB2312"/>
          <w:sz w:val="32"/>
          <w:szCs w:val="32"/>
        </w:rPr>
        <w:t>410.26</w:t>
      </w:r>
      <w:r>
        <w:rPr>
          <w:rFonts w:hint="eastAsia" w:ascii="Times New Roman" w:hAnsi="Times New Roman" w:eastAsia="仿宋_GB2312" w:cs="仿宋_GB2312"/>
          <w:sz w:val="32"/>
          <w:szCs w:val="32"/>
        </w:rPr>
        <w:t>万元，</w:t>
      </w:r>
      <w:r>
        <w:rPr>
          <w:rFonts w:hint="eastAsia" w:ascii="仿宋_GB2312" w:hAnsi="黑体" w:eastAsia="仿宋_GB2312"/>
          <w:sz w:val="32"/>
          <w:szCs w:val="32"/>
        </w:rPr>
        <w:t>，主要原因是课题调研、培训等业务活动量减少，导致预算相应减少</w:t>
      </w:r>
      <w:r>
        <w:rPr>
          <w:rFonts w:hint="eastAsia" w:ascii="仿宋_GB2312" w:hAnsi="黑体" w:eastAsia="仿宋_GB2312"/>
          <w:sz w:val="32"/>
          <w:szCs w:val="32"/>
          <w:lang w:eastAsia="zh-CN"/>
        </w:rPr>
        <w:t>。</w:t>
      </w:r>
    </w:p>
    <w:p>
      <w:pPr>
        <w:spacing w:line="578"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.教育支出（类）进修及培训（款）干部教育（项）2026年预算数为</w:t>
      </w:r>
      <w:r>
        <w:rPr>
          <w:rFonts w:hint="eastAsia" w:ascii="Times New Roman" w:hAnsi="Times New Roman" w:eastAsia="仿宋_GB2312" w:cs="仿宋_GB2312"/>
          <w:sz w:val="32"/>
          <w:szCs w:val="32"/>
          <w:lang w:val="en-US" w:eastAsia="zh-CN"/>
        </w:rPr>
        <w:t>321</w:t>
      </w:r>
      <w:r>
        <w:rPr>
          <w:rFonts w:hint="eastAsia" w:ascii="Times New Roman" w:hAnsi="Times New Roman" w:eastAsia="仿宋_GB2312" w:cs="仿宋_GB2312"/>
          <w:sz w:val="32"/>
          <w:szCs w:val="32"/>
        </w:rPr>
        <w:t>万元，预算数较上年持平。</w:t>
      </w:r>
    </w:p>
    <w:p>
      <w:pPr>
        <w:spacing w:line="578"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.社会保障和就业支出（类）行政事业单位养老支出（款）行政单位离退休（项）202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年预算数为20.41万元，比上年预算数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20.68万元，预算数较上年持平。</w:t>
      </w:r>
    </w:p>
    <w:p>
      <w:pPr>
        <w:spacing w:line="578" w:lineRule="exact"/>
        <w:ind w:firstLine="640" w:firstLineChars="200"/>
        <w:rPr>
          <w:rFonts w:ascii="Times New Roman" w:hAnsi="Times New Roman" w:eastAsia="仿宋_GB2312" w:cs="仿宋_GB2312"/>
          <w:color w:val="FF0000"/>
          <w:sz w:val="32"/>
          <w:szCs w:val="32"/>
          <w:highlight w:val="none"/>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.社会保障和就业支出（类）行政事业单位养老支出（款）机关事业单位基本养老保险缴费支出（项）202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年预算数为184.19万元，比上年预算数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25.39</w:t>
      </w:r>
      <w:r>
        <w:rPr>
          <w:rFonts w:hint="eastAsia" w:ascii="Times New Roman" w:hAnsi="Times New Roman" w:eastAsia="仿宋_GB2312" w:cs="仿宋_GB2312"/>
          <w:sz w:val="32"/>
          <w:szCs w:val="32"/>
        </w:rPr>
        <w:t>万元，主要原因</w:t>
      </w:r>
      <w:r>
        <w:rPr>
          <w:rFonts w:hint="eastAsia" w:ascii="Times New Roman" w:hAnsi="Times New Roman" w:eastAsia="仿宋_GB2312" w:cs="仿宋_GB2312"/>
          <w:sz w:val="32"/>
          <w:szCs w:val="32"/>
          <w:highlight w:val="none"/>
        </w:rPr>
        <w:t>是人员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highlight w:val="none"/>
        </w:rPr>
        <w:t>、社保费用调整等。</w:t>
      </w:r>
    </w:p>
    <w:p>
      <w:pPr>
        <w:spacing w:line="578"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.社会保障和就业支出（类）行政事业单位养老支出（款）机关事业单位职业年金缴费支出（项）202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年预算数为87.14万元，比上年预算数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7.74</w:t>
      </w:r>
      <w:r>
        <w:rPr>
          <w:rFonts w:hint="eastAsia" w:ascii="Times New Roman" w:hAnsi="Times New Roman" w:eastAsia="仿宋_GB2312" w:cs="仿宋_GB2312"/>
          <w:sz w:val="32"/>
          <w:szCs w:val="32"/>
        </w:rPr>
        <w:t>万元，主要原因是</w:t>
      </w:r>
      <w:r>
        <w:rPr>
          <w:rFonts w:hint="eastAsia" w:ascii="Times New Roman" w:hAnsi="Times New Roman" w:eastAsia="仿宋_GB2312" w:cs="仿宋_GB2312"/>
          <w:sz w:val="32"/>
          <w:szCs w:val="32"/>
          <w:highlight w:val="none"/>
        </w:rPr>
        <w:t>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highlight w:val="none"/>
        </w:rPr>
        <w:t>、社保费用调整等。</w:t>
      </w:r>
    </w:p>
    <w:p>
      <w:pPr>
        <w:spacing w:line="578"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.社会保障和就业支出（类）社会福利（款）其他社会福利支出（项）202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万元，预算数较上年持平</w:t>
      </w:r>
      <w:r>
        <w:rPr>
          <w:rFonts w:hint="eastAsia" w:ascii="Times New Roman" w:hAnsi="Times New Roman" w:eastAsia="仿宋_GB2312" w:cs="仿宋_GB2312"/>
          <w:sz w:val="32"/>
          <w:szCs w:val="32"/>
          <w:lang w:eastAsia="zh-CN"/>
        </w:rPr>
        <w:t>。</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.卫生健康支出（类）行政事业单位医疗（款）行政单位医疗（项）202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57.1</w:t>
      </w:r>
      <w:r>
        <w:rPr>
          <w:rFonts w:hint="eastAsia" w:ascii="Times New Roman" w:hAnsi="Times New Roman" w:eastAsia="仿宋_GB2312" w:cs="仿宋_GB2312"/>
          <w:sz w:val="32"/>
          <w:szCs w:val="32"/>
        </w:rPr>
        <w:t>万元，比上年预算数</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万元，主要原因是人员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rPr>
        <w:t>、医疗保险费用调整等。</w:t>
      </w:r>
    </w:p>
    <w:p>
      <w:pPr>
        <w:spacing w:line="578"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.卫生健康支出（类）行政事业单位医疗（款）公务员医疗补助（项）202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年预算数为241.60万元，预算数较上年持平</w:t>
      </w:r>
      <w:r>
        <w:rPr>
          <w:rFonts w:hint="eastAsia" w:ascii="Times New Roman" w:hAnsi="Times New Roman" w:eastAsia="仿宋_GB2312" w:cs="仿宋_GB2312"/>
          <w:sz w:val="32"/>
          <w:szCs w:val="32"/>
          <w:lang w:eastAsia="zh-CN"/>
        </w:rPr>
        <w:t>。</w:t>
      </w:r>
    </w:p>
    <w:p>
      <w:pPr>
        <w:spacing w:line="578" w:lineRule="exact"/>
        <w:ind w:firstLine="640" w:firstLineChars="200"/>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.住房保障支出（类）住房改革支出（款）住房公积金（项）202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年预算数为169.93万元，比上年预算数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26.29</w:t>
      </w:r>
      <w:r>
        <w:rPr>
          <w:rFonts w:hint="eastAsia" w:ascii="Times New Roman" w:hAnsi="Times New Roman" w:eastAsia="仿宋_GB2312" w:cs="仿宋_GB2312"/>
          <w:sz w:val="32"/>
          <w:szCs w:val="32"/>
        </w:rPr>
        <w:t>万元，主要原因是人员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rPr>
        <w:t>、住房公积金费用调整等。</w:t>
      </w:r>
    </w:p>
    <w:p>
      <w:pPr>
        <w:spacing w:line="57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三、关于中共三亚市委组织部（部门）202</w:t>
      </w:r>
      <w:r>
        <w:rPr>
          <w:rFonts w:hint="eastAsia" w:ascii="Times New Roman" w:hAnsi="Times New Roman" w:eastAsia="黑体"/>
          <w:sz w:val="32"/>
          <w:szCs w:val="32"/>
          <w:lang w:val="en-US" w:eastAsia="zh-CN"/>
        </w:rPr>
        <w:t>6</w:t>
      </w:r>
      <w:r>
        <w:rPr>
          <w:rFonts w:hint="eastAsia" w:ascii="Times New Roman" w:hAnsi="Times New Roman" w:eastAsia="黑体"/>
          <w:sz w:val="32"/>
          <w:szCs w:val="32"/>
        </w:rPr>
        <w:t>年一般公共预算基本支出情况说明</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中共三亚市委组织部（部门）</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sz w:val="32"/>
          <w:szCs w:val="32"/>
        </w:rPr>
        <w:t>年一般公共预算基本支出为</w:t>
      </w:r>
      <w:r>
        <w:rPr>
          <w:rFonts w:hint="eastAsia" w:ascii="Times New Roman" w:hAnsi="Times New Roman" w:eastAsia="仿宋_GB2312" w:cs="仿宋_GB2312"/>
          <w:sz w:val="32"/>
          <w:szCs w:val="32"/>
        </w:rPr>
        <w:t>2375.42</w:t>
      </w:r>
      <w:r>
        <w:rPr>
          <w:rFonts w:hint="eastAsia" w:ascii="Times New Roman" w:hAnsi="Times New Roman" w:eastAsia="仿宋_GB2312"/>
          <w:sz w:val="32"/>
          <w:szCs w:val="32"/>
        </w:rPr>
        <w:t>万元，其中：</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cs="仿宋_GB2312"/>
          <w:sz w:val="32"/>
          <w:szCs w:val="32"/>
        </w:rPr>
        <w:t>2189.74</w:t>
      </w:r>
      <w:r>
        <w:rPr>
          <w:rFonts w:hint="eastAsia" w:ascii="Times New Roman" w:hAnsi="Times New Roman"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离休费、</w:t>
      </w:r>
      <w:r>
        <w:rPr>
          <w:rFonts w:hint="eastAsia" w:ascii="Times New Roman" w:hAnsi="Times New Roman" w:eastAsia="仿宋_GB2312"/>
          <w:sz w:val="32"/>
          <w:szCs w:val="32"/>
          <w:lang w:eastAsia="zh-CN"/>
        </w:rPr>
        <w:t>退休费</w:t>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奖励金。</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cs="仿宋_GB2312"/>
          <w:sz w:val="32"/>
          <w:szCs w:val="32"/>
        </w:rPr>
        <w:t>185.68</w:t>
      </w:r>
      <w:r>
        <w:rPr>
          <w:rFonts w:hint="eastAsia" w:ascii="Times New Roman" w:hAnsi="Times New Roman" w:eastAsia="仿宋_GB2312"/>
          <w:sz w:val="32"/>
          <w:szCs w:val="32"/>
        </w:rPr>
        <w:t>万元，主要包括：办公费、印刷费、手续费、邮电费、差旅费、维修（护）费、会议费、培训费、</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rPr>
        <w:t>公务用车运行维护费、其他商品和服务支出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其他交通费用、生活补助、其他对个人和家庭的补助。</w:t>
      </w:r>
    </w:p>
    <w:p>
      <w:pPr>
        <w:spacing w:line="578" w:lineRule="exact"/>
        <w:ind w:firstLine="640" w:firstLineChars="200"/>
        <w:rPr>
          <w:rFonts w:ascii="Times New Roman" w:hAnsi="Times New Roman" w:eastAsia="黑体"/>
          <w:sz w:val="32"/>
          <w:shd w:val="clear" w:color="auto" w:fill="FFFFFF"/>
        </w:rPr>
      </w:pPr>
      <w:r>
        <w:rPr>
          <w:rFonts w:hint="eastAsia" w:ascii="黑体" w:hAnsi="黑体" w:eastAsia="黑体" w:cs="Times New Roman"/>
          <w:sz w:val="32"/>
          <w:shd w:val="clear" w:color="auto" w:fill="FFFFFF"/>
        </w:rPr>
        <w:t>四、</w:t>
      </w:r>
      <w:r>
        <w:rPr>
          <w:rFonts w:hint="eastAsia" w:ascii="Times New Roman" w:hAnsi="Times New Roman" w:eastAsia="黑体"/>
          <w:sz w:val="32"/>
          <w:szCs w:val="32"/>
        </w:rPr>
        <w:t>中共三亚市委组织部</w:t>
      </w:r>
      <w:r>
        <w:rPr>
          <w:rFonts w:hint="eastAsia" w:ascii="Times New Roman" w:hAnsi="Times New Roman" w:eastAsia="黑体"/>
          <w:sz w:val="32"/>
          <w:shd w:val="clear" w:color="auto" w:fill="FFFFFF"/>
        </w:rPr>
        <w:t>（部门）</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年“三公”经费预算情况</w:t>
      </w:r>
      <w:r>
        <w:rPr>
          <w:rFonts w:hint="eastAsia" w:ascii="Times New Roman" w:hAnsi="Times New Roman" w:eastAsia="黑体"/>
          <w:sz w:val="32"/>
          <w:shd w:val="clear" w:color="auto" w:fill="FFFFFF"/>
        </w:rPr>
        <w:t>说明</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（一）中共三亚市委组织部（部门）202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年一般公共预算“三公”经费预算数为16.26万元，其中：</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因公出国（境）经费0万元，与上年预算持平。202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年无出国计划。</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公务用车购置及运行费10.86万元（其中，公务用车购置费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万元，公务用车运行费10.86万元），比上年预算减少</w:t>
      </w:r>
      <w:r>
        <w:rPr>
          <w:rFonts w:hint="eastAsia" w:ascii="Times New Roman" w:hAnsi="Times New Roman" w:eastAsia="仿宋_GB2312" w:cs="仿宋_GB2312"/>
          <w:sz w:val="32"/>
          <w:szCs w:val="32"/>
          <w:lang w:val="en-US" w:eastAsia="zh-CN"/>
        </w:rPr>
        <w:t>3.65</w:t>
      </w:r>
      <w:r>
        <w:rPr>
          <w:rFonts w:hint="eastAsia" w:ascii="Times New Roman" w:hAnsi="Times New Roman" w:eastAsia="仿宋_GB2312" w:cs="仿宋_GB2312"/>
          <w:sz w:val="32"/>
          <w:szCs w:val="32"/>
        </w:rPr>
        <w:t>万元。公务车保有量</w:t>
      </w:r>
      <w:r>
        <w:rPr>
          <w:rFonts w:hint="eastAsia" w:ascii="Times New Roman" w:hAnsi="Times New Roman" w:eastAsia="仿宋_GB2312"/>
          <w:sz w:val="32"/>
          <w:szCs w:val="32"/>
        </w:rPr>
        <w:t>8</w:t>
      </w:r>
      <w:r>
        <w:rPr>
          <w:rFonts w:hint="eastAsia" w:ascii="Times New Roman" w:hAnsi="Times New Roman" w:eastAsia="仿宋_GB2312" w:cs="仿宋_GB2312"/>
          <w:sz w:val="32"/>
          <w:szCs w:val="32"/>
        </w:rPr>
        <w:t>辆，计划购置</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辆。</w:t>
      </w:r>
    </w:p>
    <w:p>
      <w:pPr>
        <w:spacing w:line="578"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公务接待费</w:t>
      </w:r>
      <w:r>
        <w:rPr>
          <w:rFonts w:hint="eastAsia" w:ascii="Times New Roman" w:hAnsi="Times New Roman" w:eastAsia="仿宋_GB2312"/>
          <w:sz w:val="32"/>
          <w:szCs w:val="32"/>
        </w:rPr>
        <w:t>5.40</w:t>
      </w:r>
      <w:r>
        <w:rPr>
          <w:rFonts w:hint="eastAsia" w:ascii="Times New Roman" w:hAnsi="Times New Roman" w:eastAsia="仿宋_GB2312" w:cs="仿宋_GB2312"/>
          <w:sz w:val="32"/>
          <w:szCs w:val="32"/>
        </w:rPr>
        <w:t>万元，与上年预算持平。</w:t>
      </w:r>
      <w:r>
        <w:rPr>
          <w:rFonts w:hint="eastAsia" w:ascii="Times New Roman" w:hAnsi="Times New Roman" w:eastAsia="仿宋_GB2312" w:cs="仿宋_GB2312"/>
          <w:sz w:val="32"/>
          <w:szCs w:val="32"/>
          <w:highlight w:val="none"/>
        </w:rPr>
        <w:t>计划接待40批约</w:t>
      </w:r>
      <w:r>
        <w:rPr>
          <w:rFonts w:hint="eastAsia" w:ascii="Times New Roman" w:hAnsi="Times New Roman" w:eastAsia="仿宋_GB2312"/>
          <w:sz w:val="32"/>
          <w:szCs w:val="32"/>
          <w:highlight w:val="none"/>
        </w:rPr>
        <w:t>300</w:t>
      </w:r>
      <w:r>
        <w:rPr>
          <w:rFonts w:hint="eastAsia" w:ascii="Times New Roman" w:hAnsi="Times New Roman" w:eastAsia="仿宋_GB2312" w:cs="仿宋_GB2312"/>
          <w:sz w:val="32"/>
          <w:szCs w:val="32"/>
          <w:highlight w:val="none"/>
        </w:rPr>
        <w:t>人。</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（二）中共三亚市委组织部（部门）202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年政府性基金预算“三公”经费预算数为</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万元，其中：</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因公出国（境）经费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万元，与上年预算持平。202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年无出国计划。</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公务用车购置及运行费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万元（其中，公务用车购置费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万元，公务用车运行费0万元），与上年预算持平。</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公务接待费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万元，与上年预算持平。计划接待</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批约</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人。</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五、关于中共三亚市委组织部（部门）</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黑体" w:hAnsi="黑体" w:eastAsia="黑体" w:cs="Times New Roman"/>
          <w:sz w:val="32"/>
          <w:shd w:val="clear" w:color="auto" w:fill="FFFFFF"/>
        </w:rPr>
        <w:t>年政府性基金预算当年拨款情况说明</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（一）政府性基金预算当年规模变化情况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中共三亚市委组织部（部门）</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cs="仿宋_GB2312"/>
          <w:sz w:val="32"/>
          <w:szCs w:val="32"/>
        </w:rPr>
        <w:t>年政府性基金预算当年拨款</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万元，与上年预算数持平。</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（二）政府性基金预算当年拨款结构情况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（三）政府性基金预算当年拨款具体使用情况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pPr>
        <w:spacing w:line="578" w:lineRule="exact"/>
        <w:ind w:firstLine="640" w:firstLineChars="200"/>
        <w:rPr>
          <w:rFonts w:ascii="Times New Roman" w:hAnsi="Times New Roman" w:eastAsia="黑体"/>
          <w:sz w:val="32"/>
          <w:shd w:val="clear" w:color="auto" w:fill="FFFFFF"/>
        </w:rPr>
      </w:pPr>
      <w:r>
        <w:rPr>
          <w:rFonts w:hint="eastAsia" w:ascii="黑体" w:hAnsi="黑体" w:eastAsia="黑体" w:cs="Times New Roman"/>
          <w:sz w:val="32"/>
          <w:shd w:val="clear" w:color="auto" w:fill="FFFFFF"/>
        </w:rPr>
        <w:t>六、</w:t>
      </w:r>
      <w:r>
        <w:rPr>
          <w:rFonts w:hint="eastAsia" w:ascii="Times New Roman" w:hAnsi="Times New Roman" w:eastAsia="黑体"/>
          <w:sz w:val="32"/>
          <w:shd w:val="clear" w:color="auto" w:fill="FFFFFF"/>
        </w:rPr>
        <w:t>关于中共三亚市委组织部（部门）</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w:t>
      </w:r>
      <w:r>
        <w:rPr>
          <w:rFonts w:hint="eastAsia" w:ascii="Times New Roman" w:hAnsi="Times New Roman" w:eastAsia="黑体"/>
          <w:sz w:val="32"/>
          <w:shd w:val="clear" w:color="auto" w:fill="FFFFFF"/>
        </w:rPr>
        <w:t>收支预算情况的总体说明</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按照综合预算原则，中共三亚市委组织部（部门）所有收入和支出均纳入部门预算管理。收入包括：一般公共预算收入；支出包括：一般公共服务支出、教育支出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社会保障和就业支出、卫生健康支出、住房保障支出。中共三亚市委组织部（部门）202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年收支总预算</w:t>
      </w:r>
      <w:r>
        <w:rPr>
          <w:rFonts w:hint="eastAsia" w:ascii="Times New Roman" w:hAnsi="Times New Roman" w:eastAsia="仿宋_GB2312"/>
          <w:sz w:val="32"/>
          <w:szCs w:val="32"/>
        </w:rPr>
        <w:t>4541.76</w:t>
      </w:r>
      <w:r>
        <w:rPr>
          <w:rFonts w:hint="eastAsia" w:ascii="Times New Roman" w:hAnsi="Times New Roman" w:eastAsia="仿宋_GB2312" w:cs="仿宋_GB2312"/>
          <w:sz w:val="32"/>
          <w:szCs w:val="32"/>
        </w:rPr>
        <w:t>万元。</w:t>
      </w:r>
    </w:p>
    <w:p>
      <w:pPr>
        <w:spacing w:line="578" w:lineRule="exact"/>
        <w:ind w:firstLine="640" w:firstLineChars="200"/>
        <w:rPr>
          <w:rFonts w:ascii="Times New Roman" w:hAnsi="Times New Roman" w:eastAsia="黑体"/>
          <w:sz w:val="32"/>
          <w:shd w:val="clear" w:color="auto" w:fill="FFFFFF"/>
        </w:rPr>
      </w:pPr>
      <w:r>
        <w:rPr>
          <w:rFonts w:hint="eastAsia" w:ascii="黑体" w:hAnsi="黑体" w:eastAsia="黑体" w:cs="Times New Roman"/>
          <w:sz w:val="32"/>
          <w:shd w:val="clear" w:color="auto" w:fill="FFFFFF"/>
        </w:rPr>
        <w:t>七、</w:t>
      </w:r>
      <w:r>
        <w:rPr>
          <w:rFonts w:hint="eastAsia" w:ascii="Times New Roman" w:hAnsi="Times New Roman" w:eastAsia="黑体"/>
          <w:sz w:val="32"/>
          <w:shd w:val="clear" w:color="auto" w:fill="FFFFFF"/>
        </w:rPr>
        <w:t>关于中共三亚市委组织部（部门）</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w:t>
      </w:r>
      <w:r>
        <w:rPr>
          <w:rFonts w:hint="eastAsia" w:ascii="Times New Roman" w:hAnsi="Times New Roman" w:eastAsia="黑体"/>
          <w:sz w:val="32"/>
          <w:shd w:val="clear" w:color="auto" w:fill="FFFFFF"/>
        </w:rPr>
        <w:t>收入预算情况说明</w:t>
      </w:r>
    </w:p>
    <w:p>
      <w:pPr>
        <w:spacing w:line="578" w:lineRule="exact"/>
        <w:ind w:firstLine="640" w:firstLineChars="200"/>
        <w:rPr>
          <w:rFonts w:hint="eastAsia" w:ascii="仿宋_GB2312" w:hAnsi="黑体" w:eastAsia="仿宋_GB2312"/>
          <w:sz w:val="32"/>
          <w:szCs w:val="32"/>
        </w:rPr>
      </w:pPr>
      <w:r>
        <w:rPr>
          <w:rFonts w:hint="eastAsia" w:ascii="Times New Roman" w:hAnsi="Times New Roman" w:eastAsia="仿宋_GB2312" w:cs="仿宋_GB2312"/>
          <w:sz w:val="32"/>
          <w:szCs w:val="32"/>
        </w:rPr>
        <w:t>中共三亚市委组织部（部门）202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sz w:val="32"/>
          <w:szCs w:val="32"/>
        </w:rPr>
        <w:t>年收入预算</w:t>
      </w:r>
      <w:r>
        <w:rPr>
          <w:rFonts w:hint="eastAsia" w:ascii="Times New Roman" w:hAnsi="Times New Roman" w:eastAsia="仿宋_GB2312" w:cs="仿宋_GB2312"/>
          <w:sz w:val="32"/>
          <w:szCs w:val="32"/>
        </w:rPr>
        <w:t>4541.76</w:t>
      </w:r>
      <w:r>
        <w:rPr>
          <w:rFonts w:hint="eastAsia" w:ascii="Times New Roman" w:hAnsi="Times New Roman" w:eastAsia="仿宋_GB2312"/>
          <w:sz w:val="32"/>
          <w:szCs w:val="32"/>
        </w:rPr>
        <w:t>万元，其中：上年结转0万元，占0%；一般公共预算拨款收入4541.76万元，占100%；政府性基金收入0万元，占</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%；专项收入0万元，占0%。比上年预算数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highlight w:val="none"/>
        </w:rPr>
        <w:t>238.57</w:t>
      </w:r>
      <w:r>
        <w:rPr>
          <w:rFonts w:hint="eastAsia" w:ascii="Times New Roman" w:hAnsi="Times New Roman" w:eastAsia="仿宋_GB2312"/>
          <w:sz w:val="32"/>
          <w:szCs w:val="32"/>
        </w:rPr>
        <w:t>万元，</w:t>
      </w:r>
      <w:r>
        <w:rPr>
          <w:rFonts w:hint="eastAsia" w:ascii="仿宋_GB2312" w:hAnsi="黑体" w:eastAsia="仿宋_GB2312"/>
          <w:sz w:val="32"/>
          <w:szCs w:val="32"/>
        </w:rPr>
        <w:t>主要原因是2025年末调入人员4名，人员经费增加。</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w:t>
      </w:r>
      <w:r>
        <w:rPr>
          <w:rFonts w:hint="eastAsia" w:ascii="Times New Roman" w:hAnsi="Times New Roman" w:eastAsia="黑体"/>
          <w:sz w:val="32"/>
          <w:shd w:val="clear" w:color="auto" w:fill="FFFFFF"/>
        </w:rPr>
        <w:t>关于</w:t>
      </w:r>
      <w:r>
        <w:rPr>
          <w:rFonts w:hint="eastAsia" w:ascii="Times New Roman" w:hAnsi="Times New Roman" w:eastAsia="黑体"/>
          <w:sz w:val="32"/>
          <w:szCs w:val="32"/>
        </w:rPr>
        <w:t>中共三亚市委组织部</w:t>
      </w:r>
      <w:r>
        <w:rPr>
          <w:rFonts w:hint="eastAsia" w:ascii="Times New Roman" w:hAnsi="Times New Roman" w:eastAsia="黑体"/>
          <w:sz w:val="32"/>
          <w:shd w:val="clear" w:color="auto" w:fill="FFFFFF"/>
        </w:rPr>
        <w:t>（部门）</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w:t>
      </w:r>
      <w:r>
        <w:rPr>
          <w:rFonts w:hint="eastAsia" w:ascii="Times New Roman" w:hAnsi="Times New Roman" w:eastAsia="黑体"/>
          <w:sz w:val="32"/>
          <w:shd w:val="clear" w:color="auto" w:fill="FFFFFF"/>
        </w:rPr>
        <w:t>支出预算情况说明</w:t>
      </w:r>
    </w:p>
    <w:p>
      <w:pPr>
        <w:spacing w:line="578" w:lineRule="exact"/>
        <w:ind w:firstLine="640" w:firstLineChars="200"/>
        <w:rPr>
          <w:rFonts w:hint="eastAsia" w:ascii="仿宋_GB2312" w:hAnsi="黑体" w:eastAsia="仿宋_GB2312"/>
          <w:sz w:val="32"/>
          <w:szCs w:val="32"/>
        </w:rPr>
      </w:pPr>
      <w:r>
        <w:rPr>
          <w:rFonts w:hint="eastAsia" w:ascii="Times New Roman" w:hAnsi="Times New Roman" w:eastAsia="仿宋_GB2312" w:cs="仿宋_GB2312"/>
          <w:sz w:val="32"/>
          <w:szCs w:val="32"/>
        </w:rPr>
        <w:t>中共三亚市委组织部（部门）202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年支出预算4541.76万元，其中：基本支出2375.42万元，占52.30%；项目支出2166.34万元，占</w:t>
      </w:r>
      <w:r>
        <w:rPr>
          <w:rFonts w:hint="eastAsia" w:ascii="Times New Roman" w:hAnsi="Times New Roman" w:eastAsia="仿宋_GB2312" w:cs="仿宋_GB2312"/>
          <w:sz w:val="32"/>
          <w:szCs w:val="32"/>
          <w:lang w:val="en-US" w:eastAsia="zh-CN"/>
        </w:rPr>
        <w:t>47.70</w:t>
      </w:r>
      <w:r>
        <w:rPr>
          <w:rFonts w:hint="eastAsia" w:ascii="Times New Roman" w:hAnsi="Times New Roman" w:eastAsia="仿宋_GB2312" w:cs="仿宋_GB2312"/>
          <w:sz w:val="32"/>
          <w:szCs w:val="32"/>
        </w:rPr>
        <w:t>%。比上年预算数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238.57万元，</w:t>
      </w:r>
      <w:r>
        <w:rPr>
          <w:rFonts w:hint="eastAsia" w:ascii="仿宋_GB2312" w:hAnsi="黑体" w:eastAsia="仿宋_GB2312"/>
          <w:sz w:val="32"/>
          <w:szCs w:val="32"/>
        </w:rPr>
        <w:t>主要原因是2025年末调入人员4名，人员经费增加。</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（一）机关运行经费</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年中共三亚市委组织部</w:t>
      </w:r>
      <w:bookmarkStart w:id="0" w:name="_GoBack"/>
      <w:bookmarkEnd w:id="0"/>
      <w:r>
        <w:rPr>
          <w:rFonts w:hint="eastAsia" w:ascii="Times New Roman" w:hAnsi="Times New Roman" w:eastAsia="仿宋_GB2312" w:cs="仿宋_GB2312"/>
          <w:sz w:val="32"/>
          <w:szCs w:val="32"/>
        </w:rPr>
        <w:t>（部门）本级的机关运行经费预算211.60万元。</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（二）政府采购情况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年中共三亚市委组织部（部门）本级政府采购预算总额</w:t>
      </w:r>
      <w:r>
        <w:rPr>
          <w:rFonts w:hint="eastAsia" w:ascii="Times New Roman" w:hAnsi="Times New Roman" w:eastAsia="仿宋_GB2312" w:cs="仿宋_GB2312"/>
          <w:sz w:val="32"/>
          <w:szCs w:val="32"/>
          <w:lang w:val="en-US" w:eastAsia="zh-CN"/>
        </w:rPr>
        <w:t>221.3</w:t>
      </w:r>
      <w:r>
        <w:rPr>
          <w:rFonts w:hint="eastAsia" w:ascii="Times New Roman" w:hAnsi="Times New Roman" w:eastAsia="仿宋_GB2312" w:cs="仿宋_GB2312"/>
          <w:sz w:val="32"/>
          <w:szCs w:val="32"/>
        </w:rPr>
        <w:t>万元，其中：政府采购货物预算</w:t>
      </w:r>
      <w:r>
        <w:rPr>
          <w:rFonts w:hint="eastAsia" w:ascii="Times New Roman" w:hAnsi="Times New Roman" w:eastAsia="仿宋_GB2312" w:cs="仿宋_GB2312"/>
          <w:sz w:val="32"/>
          <w:szCs w:val="32"/>
          <w:lang w:val="en-US" w:eastAsia="zh-CN"/>
        </w:rPr>
        <w:t>16.30</w:t>
      </w:r>
      <w:r>
        <w:rPr>
          <w:rFonts w:hint="eastAsia" w:ascii="Times New Roman" w:hAnsi="Times New Roman" w:eastAsia="仿宋_GB2312" w:cs="仿宋_GB2312"/>
          <w:sz w:val="32"/>
          <w:szCs w:val="32"/>
        </w:rPr>
        <w:t>万元，政府采购工程预算0万元，政府采购服务预算</w:t>
      </w:r>
      <w:r>
        <w:rPr>
          <w:rFonts w:hint="eastAsia" w:ascii="Times New Roman" w:hAnsi="Times New Roman" w:eastAsia="仿宋_GB2312" w:cs="仿宋_GB2312"/>
          <w:sz w:val="32"/>
          <w:szCs w:val="32"/>
          <w:lang w:val="en-US" w:eastAsia="zh-CN"/>
        </w:rPr>
        <w:t>205</w:t>
      </w:r>
      <w:r>
        <w:rPr>
          <w:rFonts w:hint="eastAsia" w:ascii="Times New Roman" w:hAnsi="Times New Roman" w:eastAsia="仿宋_GB2312" w:cs="仿宋_GB2312"/>
          <w:sz w:val="32"/>
          <w:szCs w:val="32"/>
        </w:rPr>
        <w:t>万元。</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（三）国有资产占有使用情况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截至202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12月31日，中共三亚市委组织部（部门）本级及下属各预算单位共有车辆8辆，其中，领导干部用车0辆，机要通信应急用车0辆、一般执法执勤用车0辆、特种专业技术用车0辆、其他用车8辆。单位价值100万元以上设备0台（套）。</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（四）绩效目标设置情况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年中共三亚市委组织部（部门）</w:t>
      </w:r>
      <w:r>
        <w:rPr>
          <w:rFonts w:hint="eastAsia" w:ascii="Times New Roman" w:hAnsi="Times New Roman" w:eastAsia="仿宋_GB2312"/>
          <w:sz w:val="32"/>
          <w:szCs w:val="32"/>
          <w:lang w:val="en-US" w:eastAsia="zh-CN"/>
        </w:rPr>
        <w:t>25</w:t>
      </w:r>
      <w:r>
        <w:rPr>
          <w:rFonts w:hint="eastAsia" w:ascii="Times New Roman" w:hAnsi="Times New Roman" w:eastAsia="仿宋_GB2312" w:cs="仿宋_GB2312"/>
          <w:sz w:val="32"/>
          <w:szCs w:val="32"/>
        </w:rPr>
        <w:t>个项目实行绩效目标管理，涉及一般公共预算</w:t>
      </w:r>
      <w:r>
        <w:rPr>
          <w:rFonts w:hint="eastAsia" w:ascii="Times New Roman" w:hAnsi="Times New Roman" w:eastAsia="仿宋_GB2312"/>
          <w:sz w:val="32"/>
          <w:szCs w:val="32"/>
          <w:lang w:val="en-US" w:eastAsia="zh-CN"/>
        </w:rPr>
        <w:t>4541.76</w:t>
      </w:r>
      <w:r>
        <w:rPr>
          <w:rFonts w:hint="eastAsia" w:ascii="Times New Roman" w:hAnsi="Times New Roman" w:eastAsia="仿宋_GB2312" w:cs="仿宋_GB2312"/>
          <w:sz w:val="32"/>
          <w:szCs w:val="32"/>
        </w:rPr>
        <w:t>万元、政府性基金</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w:t>
      </w:r>
    </w:p>
    <w:p>
      <w:pPr>
        <w:pStyle w:val="2"/>
        <w:spacing w:line="578" w:lineRule="exact"/>
        <w:ind w:left="420"/>
      </w:pPr>
    </w:p>
    <w:p>
      <w:pPr>
        <w:pStyle w:val="2"/>
        <w:spacing w:line="578" w:lineRule="exact"/>
        <w:ind w:left="0" w:leftChars="0"/>
        <w:rPr>
          <w:rFonts w:eastAsia="仿宋_GB2312"/>
        </w:rPr>
      </w:pPr>
    </w:p>
    <w:p>
      <w:pPr>
        <w:pStyle w:val="2"/>
        <w:spacing w:line="578" w:lineRule="exact"/>
        <w:ind w:left="0" w:leftChars="0" w:firstLine="420" w:firstLineChars="200"/>
        <w:rPr>
          <w:rFonts w:eastAsia="仿宋_GB2312"/>
        </w:rPr>
      </w:pPr>
    </w:p>
    <w:p>
      <w:pPr>
        <w:pStyle w:val="2"/>
        <w:spacing w:line="578" w:lineRule="exact"/>
        <w:ind w:left="0" w:leftChars="0" w:firstLine="420" w:firstLineChars="200"/>
        <w:rPr>
          <w:rFonts w:eastAsia="仿宋_GB2312"/>
        </w:rPr>
      </w:pPr>
    </w:p>
    <w:p>
      <w:pPr>
        <w:pStyle w:val="2"/>
        <w:spacing w:line="578" w:lineRule="exact"/>
        <w:ind w:left="420"/>
        <w:rPr>
          <w:rFonts w:eastAsia="仿宋_GB2312"/>
        </w:rPr>
      </w:pPr>
    </w:p>
    <w:p>
      <w:pPr>
        <w:pStyle w:val="2"/>
        <w:spacing w:line="578" w:lineRule="exact"/>
        <w:ind w:left="0" w:leftChars="0" w:firstLine="420" w:firstLineChars="200"/>
        <w:rPr>
          <w:rFonts w:eastAsia="仿宋_GB2312"/>
        </w:rPr>
      </w:pPr>
    </w:p>
    <w:p>
      <w:pPr>
        <w:pStyle w:val="2"/>
        <w:spacing w:line="578" w:lineRule="exact"/>
        <w:ind w:left="0" w:leftChars="0"/>
        <w:rPr>
          <w:rFonts w:eastAsia="仿宋_GB2312"/>
        </w:rPr>
      </w:pPr>
    </w:p>
    <w:p>
      <w:pPr>
        <w:pStyle w:val="2"/>
        <w:spacing w:line="578" w:lineRule="exact"/>
        <w:ind w:left="0" w:leftChars="0"/>
        <w:rPr>
          <w:rFonts w:eastAsia="仿宋_GB2312"/>
        </w:rPr>
      </w:pPr>
    </w:p>
    <w:p>
      <w:pPr>
        <w:spacing w:line="578" w:lineRule="exact"/>
        <w:ind w:firstLine="643" w:firstLineChars="200"/>
        <w:jc w:val="center"/>
        <w:rPr>
          <w:rFonts w:ascii="黑体" w:hAnsi="黑体" w:eastAsia="黑体"/>
          <w:b/>
          <w:sz w:val="32"/>
          <w:szCs w:val="32"/>
        </w:rPr>
      </w:pPr>
      <w:r>
        <w:rPr>
          <w:rFonts w:hint="eastAsia" w:ascii="黑体" w:hAnsi="黑体" w:eastAsia="黑体"/>
          <w:b/>
          <w:sz w:val="32"/>
          <w:szCs w:val="32"/>
        </w:rPr>
        <w:t>第四部分  名词解释</w:t>
      </w:r>
    </w:p>
    <w:p>
      <w:pPr>
        <w:spacing w:line="578" w:lineRule="exact"/>
        <w:ind w:firstLine="640" w:firstLineChars="200"/>
        <w:jc w:val="left"/>
        <w:rPr>
          <w:rFonts w:ascii="仿宋_GB2312" w:eastAsia="仿宋_GB2312" w:cs="宋体"/>
          <w:bCs/>
          <w:color w:val="000000"/>
          <w:kern w:val="0"/>
          <w:sz w:val="32"/>
          <w:szCs w:val="32"/>
          <w:lang w:val="zh-CN"/>
        </w:rPr>
      </w:pP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spacing w:line="578" w:lineRule="exact"/>
        <w:ind w:firstLine="640" w:firstLineChars="200"/>
        <w:jc w:val="left"/>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78"/>
    <w:rsid w:val="00043907"/>
    <w:rsid w:val="00072F32"/>
    <w:rsid w:val="001E0C54"/>
    <w:rsid w:val="002F1D61"/>
    <w:rsid w:val="006D2FA1"/>
    <w:rsid w:val="00852CFA"/>
    <w:rsid w:val="008C2078"/>
    <w:rsid w:val="0096313F"/>
    <w:rsid w:val="00963848"/>
    <w:rsid w:val="00AE6EA3"/>
    <w:rsid w:val="00B10D5C"/>
    <w:rsid w:val="00BF4354"/>
    <w:rsid w:val="00C630BF"/>
    <w:rsid w:val="00DC4175"/>
    <w:rsid w:val="00E020AE"/>
    <w:rsid w:val="00E617CE"/>
    <w:rsid w:val="00ED4648"/>
    <w:rsid w:val="02AE2238"/>
    <w:rsid w:val="06D166DF"/>
    <w:rsid w:val="08EF1629"/>
    <w:rsid w:val="0E031D0C"/>
    <w:rsid w:val="0E931C24"/>
    <w:rsid w:val="11251631"/>
    <w:rsid w:val="12EE7B04"/>
    <w:rsid w:val="135E592D"/>
    <w:rsid w:val="153C6BA1"/>
    <w:rsid w:val="161F3C80"/>
    <w:rsid w:val="173125CB"/>
    <w:rsid w:val="19B426D5"/>
    <w:rsid w:val="19D5DA33"/>
    <w:rsid w:val="1D5F41D5"/>
    <w:rsid w:val="1FBF8E30"/>
    <w:rsid w:val="204158EC"/>
    <w:rsid w:val="21BE2CD9"/>
    <w:rsid w:val="22436337"/>
    <w:rsid w:val="233C2D82"/>
    <w:rsid w:val="252640D3"/>
    <w:rsid w:val="25424832"/>
    <w:rsid w:val="28DF6B8F"/>
    <w:rsid w:val="28E55B4B"/>
    <w:rsid w:val="28FD6D73"/>
    <w:rsid w:val="29356E10"/>
    <w:rsid w:val="2A0F6D1F"/>
    <w:rsid w:val="2A135FB0"/>
    <w:rsid w:val="2AB3392E"/>
    <w:rsid w:val="2B334994"/>
    <w:rsid w:val="2BDF0DC0"/>
    <w:rsid w:val="2BE4501C"/>
    <w:rsid w:val="2BEE723C"/>
    <w:rsid w:val="2C741108"/>
    <w:rsid w:val="2FF7110D"/>
    <w:rsid w:val="2FFFCED3"/>
    <w:rsid w:val="330419D0"/>
    <w:rsid w:val="33180CC4"/>
    <w:rsid w:val="368729A3"/>
    <w:rsid w:val="37321359"/>
    <w:rsid w:val="379E23A5"/>
    <w:rsid w:val="380D0B95"/>
    <w:rsid w:val="38E76855"/>
    <w:rsid w:val="3A3B29FD"/>
    <w:rsid w:val="3C842C82"/>
    <w:rsid w:val="3D253698"/>
    <w:rsid w:val="3DD33125"/>
    <w:rsid w:val="3EDD6D6B"/>
    <w:rsid w:val="3F7FB4B5"/>
    <w:rsid w:val="3FAA751B"/>
    <w:rsid w:val="3FAD4D11"/>
    <w:rsid w:val="420109D2"/>
    <w:rsid w:val="420653CB"/>
    <w:rsid w:val="4248194F"/>
    <w:rsid w:val="42DB2D71"/>
    <w:rsid w:val="445A05B8"/>
    <w:rsid w:val="47366CDD"/>
    <w:rsid w:val="473C0062"/>
    <w:rsid w:val="4824065F"/>
    <w:rsid w:val="4FB80849"/>
    <w:rsid w:val="5048329C"/>
    <w:rsid w:val="50BE2854"/>
    <w:rsid w:val="5215330D"/>
    <w:rsid w:val="52667767"/>
    <w:rsid w:val="55022877"/>
    <w:rsid w:val="555872BB"/>
    <w:rsid w:val="55CA6B60"/>
    <w:rsid w:val="579E0D3D"/>
    <w:rsid w:val="593B2AD6"/>
    <w:rsid w:val="59C17129"/>
    <w:rsid w:val="5AD4535B"/>
    <w:rsid w:val="5DB7E539"/>
    <w:rsid w:val="5E280D87"/>
    <w:rsid w:val="5E312040"/>
    <w:rsid w:val="5E5472F4"/>
    <w:rsid w:val="5FE514F1"/>
    <w:rsid w:val="604068AC"/>
    <w:rsid w:val="619A4971"/>
    <w:rsid w:val="62E57C95"/>
    <w:rsid w:val="668736EB"/>
    <w:rsid w:val="66DACB0B"/>
    <w:rsid w:val="697BF56A"/>
    <w:rsid w:val="6B6CE30F"/>
    <w:rsid w:val="6C7F1319"/>
    <w:rsid w:val="6DDF74AC"/>
    <w:rsid w:val="6FAF0D8D"/>
    <w:rsid w:val="6FCFCADC"/>
    <w:rsid w:val="6FFA4FE6"/>
    <w:rsid w:val="70AE1A17"/>
    <w:rsid w:val="716E53D0"/>
    <w:rsid w:val="72EA6C29"/>
    <w:rsid w:val="738E39F1"/>
    <w:rsid w:val="75FB0B04"/>
    <w:rsid w:val="762A25A7"/>
    <w:rsid w:val="7633131E"/>
    <w:rsid w:val="7698469B"/>
    <w:rsid w:val="79045AB5"/>
    <w:rsid w:val="79F7B683"/>
    <w:rsid w:val="7A440EFC"/>
    <w:rsid w:val="7A6A02D0"/>
    <w:rsid w:val="7B0456C8"/>
    <w:rsid w:val="7BBE781D"/>
    <w:rsid w:val="7D73BCCE"/>
    <w:rsid w:val="7DE79FA0"/>
    <w:rsid w:val="7DEBCAFF"/>
    <w:rsid w:val="7EDD8B29"/>
    <w:rsid w:val="7FA514C2"/>
    <w:rsid w:val="7FBB57FF"/>
    <w:rsid w:val="7FF73252"/>
    <w:rsid w:val="7FFDF15C"/>
    <w:rsid w:val="93F36975"/>
    <w:rsid w:val="AADF2E0B"/>
    <w:rsid w:val="AF3F5406"/>
    <w:rsid w:val="B9D2CE32"/>
    <w:rsid w:val="BB7F118A"/>
    <w:rsid w:val="BFCF5347"/>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200" w:leftChars="200"/>
    </w:pPr>
  </w:style>
  <w:style w:type="paragraph" w:styleId="3">
    <w:name w:val="Balloon Text"/>
    <w:basedOn w:val="1"/>
    <w:link w:val="13"/>
    <w:semiHidden/>
    <w:unhideWhenUsed/>
    <w:qFormat/>
    <w:uiPriority w:val="0"/>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列出段落11"/>
    <w:basedOn w:val="1"/>
    <w:qFormat/>
    <w:uiPriority w:val="34"/>
    <w:pPr>
      <w:ind w:firstLine="420" w:firstLineChars="200"/>
    </w:pPr>
  </w:style>
  <w:style w:type="character" w:customStyle="1" w:styleId="13">
    <w:name w:val="批注框文本 Char"/>
    <w:basedOn w:val="7"/>
    <w:link w:val="3"/>
    <w:semiHidden/>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762</Words>
  <Characters>4346</Characters>
  <Lines>36</Lines>
  <Paragraphs>10</Paragraphs>
  <TotalTime>0</TotalTime>
  <ScaleCrop>false</ScaleCrop>
  <LinksUpToDate>false</LinksUpToDate>
  <CharactersWithSpaces>5098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20170308</cp:lastModifiedBy>
  <cp:lastPrinted>2026-03-04T12:36:00Z</cp:lastPrinted>
  <dcterms:modified xsi:type="dcterms:W3CDTF">2026-03-04T13:08:37Z</dcterms:modified>
  <dc:title>××年××部门（单位）预算</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